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E29" w:rsidRPr="00D30E29" w:rsidRDefault="00D30E29" w:rsidP="00D30E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ind w:left="300"/>
        <w:rPr>
          <w:rFonts w:ascii="Open Sans" w:eastAsia="Times New Roman" w:hAnsi="Open Sans" w:cs="Open Sans"/>
          <w:color w:val="5C5C5C"/>
          <w:sz w:val="18"/>
          <w:szCs w:val="18"/>
          <w:lang w:eastAsia="it-IT"/>
        </w:rPr>
      </w:pPr>
      <w:r w:rsidRPr="00D30E29">
        <w:rPr>
          <w:rFonts w:ascii="Open Sans" w:eastAsia="Times New Roman" w:hAnsi="Open Sans" w:cs="Open Sans"/>
          <w:b/>
          <w:bCs/>
          <w:color w:val="FF0000"/>
          <w:sz w:val="18"/>
          <w:szCs w:val="18"/>
          <w:lang w:eastAsia="it-IT"/>
        </w:rPr>
        <w:t>Quesito</w:t>
      </w:r>
      <w:r>
        <w:rPr>
          <w:rFonts w:ascii="Open Sans" w:eastAsia="Times New Roman" w:hAnsi="Open Sans" w:cs="Open Sans"/>
          <w:b/>
          <w:bCs/>
          <w:color w:val="FF0000"/>
          <w:sz w:val="18"/>
          <w:szCs w:val="18"/>
          <w:lang w:eastAsia="it-IT"/>
        </w:rPr>
        <w:t xml:space="preserve"> </w:t>
      </w:r>
      <w:r w:rsidR="00CC77A5">
        <w:rPr>
          <w:rFonts w:ascii="Open Sans" w:eastAsia="Times New Roman" w:hAnsi="Open Sans" w:cs="Open Sans"/>
          <w:b/>
          <w:bCs/>
          <w:color w:val="FF0000"/>
          <w:sz w:val="18"/>
          <w:szCs w:val="18"/>
          <w:lang w:eastAsia="it-IT"/>
        </w:rPr>
        <w:t>2</w:t>
      </w:r>
      <w:r w:rsidRPr="00D30E29">
        <w:rPr>
          <w:rFonts w:ascii="Open Sans" w:eastAsia="Times New Roman" w:hAnsi="Open Sans" w:cs="Open Sans"/>
          <w:b/>
          <w:bCs/>
          <w:color w:val="FF0000"/>
          <w:sz w:val="18"/>
          <w:szCs w:val="18"/>
          <w:lang w:eastAsia="it-IT"/>
        </w:rPr>
        <w:t>:</w:t>
      </w:r>
      <w:r w:rsidRPr="00D30E29">
        <w:rPr>
          <w:rFonts w:ascii="Open Sans" w:eastAsia="Times New Roman" w:hAnsi="Open Sans" w:cs="Open Sans"/>
          <w:b/>
          <w:bCs/>
          <w:color w:val="5C5C5C"/>
          <w:sz w:val="18"/>
          <w:szCs w:val="18"/>
          <w:lang w:eastAsia="it-IT"/>
        </w:rPr>
        <w:t xml:space="preserve"> </w:t>
      </w:r>
    </w:p>
    <w:p w:rsidR="00CC77A5" w:rsidRPr="00CC77A5" w:rsidRDefault="00CC77A5" w:rsidP="00CC77A5">
      <w:pPr>
        <w:shd w:val="clear" w:color="auto" w:fill="FFFFFF"/>
        <w:spacing w:after="480" w:line="408" w:lineRule="atLeast"/>
        <w:ind w:left="450"/>
        <w:jc w:val="both"/>
        <w:rPr>
          <w:rFonts w:ascii="Open Sans" w:eastAsia="Times New Roman" w:hAnsi="Open Sans" w:cs="Open Sans"/>
          <w:color w:val="5C5C5C"/>
          <w:sz w:val="18"/>
          <w:szCs w:val="18"/>
          <w:lang w:eastAsia="it-IT"/>
        </w:rPr>
      </w:pPr>
      <w:bookmarkStart w:id="0" w:name="_GoBack"/>
      <w:bookmarkEnd w:id="0"/>
      <w:r w:rsidRPr="00CC77A5">
        <w:rPr>
          <w:rFonts w:ascii="Open Sans" w:eastAsia="Times New Roman" w:hAnsi="Open Sans" w:cs="Open Sans"/>
          <w:b/>
          <w:bCs/>
          <w:color w:val="5C5C5C"/>
          <w:sz w:val="18"/>
          <w:szCs w:val="18"/>
          <w:lang w:eastAsia="it-IT"/>
        </w:rPr>
        <w:t xml:space="preserve">In riferimento alla procedura in oggetto con la presente si formula la seguente richiesta di chiarimenti: - Quali requisiti di idoneità professionale capacità economico – finanziaria e tecnico – organizzativa il disciplinare di gara richiede un fatturato specifico d’impresa conseguito nel triennio antecedente alla data di pubblicazione del bando di gara per servizi “analoghi” a quelli oggetto della presente procedura di gara (servizi di vigilanza portuale o aereoportuale) per un importo non inferiore all’importo annuo posto a base di gara; in considerazione dell’importo rilevante dell’appalto per servizi “analoghi” devono intendersi servizi svolti solo ed esclusivamente presso porti o </w:t>
      </w:r>
      <w:proofErr w:type="spellStart"/>
      <w:r w:rsidRPr="00CC77A5">
        <w:rPr>
          <w:rFonts w:ascii="Open Sans" w:eastAsia="Times New Roman" w:hAnsi="Open Sans" w:cs="Open Sans"/>
          <w:b/>
          <w:bCs/>
          <w:color w:val="5C5C5C"/>
          <w:sz w:val="18"/>
          <w:szCs w:val="18"/>
          <w:lang w:eastAsia="it-IT"/>
        </w:rPr>
        <w:t>aereoporti</w:t>
      </w:r>
      <w:proofErr w:type="spellEnd"/>
      <w:r w:rsidRPr="00CC77A5">
        <w:rPr>
          <w:rFonts w:ascii="Open Sans" w:eastAsia="Times New Roman" w:hAnsi="Open Sans" w:cs="Open Sans"/>
          <w:b/>
          <w:bCs/>
          <w:color w:val="5C5C5C"/>
          <w:sz w:val="18"/>
          <w:szCs w:val="18"/>
          <w:lang w:eastAsia="it-IT"/>
        </w:rPr>
        <w:t xml:space="preserve"> oppure servizi di vigilanza armata con piantonamento genericamente intesi prestati a favore di committenti diversi?</w:t>
      </w:r>
    </w:p>
    <w:p w:rsidR="00CC77A5" w:rsidRPr="00CC77A5" w:rsidRDefault="00CC77A5" w:rsidP="00CC77A5">
      <w:pPr>
        <w:shd w:val="clear" w:color="auto" w:fill="FFFFFF"/>
        <w:spacing w:after="480" w:line="408" w:lineRule="atLeast"/>
        <w:ind w:left="450"/>
        <w:jc w:val="both"/>
        <w:rPr>
          <w:rFonts w:ascii="Open Sans" w:eastAsia="Times New Roman" w:hAnsi="Open Sans" w:cs="Open Sans"/>
          <w:color w:val="5C5C5C"/>
          <w:sz w:val="18"/>
          <w:szCs w:val="18"/>
          <w:lang w:eastAsia="it-IT"/>
        </w:rPr>
      </w:pPr>
      <w:r w:rsidRPr="00CC77A5">
        <w:rPr>
          <w:rFonts w:ascii="Open Sans" w:eastAsia="Times New Roman" w:hAnsi="Open Sans" w:cs="Open Sans"/>
          <w:b/>
          <w:bCs/>
          <w:color w:val="5C5C5C"/>
          <w:sz w:val="18"/>
          <w:szCs w:val="18"/>
          <w:lang w:eastAsia="it-IT"/>
        </w:rPr>
        <w:t>Risposta:</w:t>
      </w:r>
      <w:r w:rsidRPr="00CC77A5">
        <w:rPr>
          <w:rFonts w:ascii="Open Sans" w:eastAsia="Times New Roman" w:hAnsi="Open Sans" w:cs="Open Sans"/>
          <w:color w:val="5C5C5C"/>
          <w:sz w:val="18"/>
          <w:szCs w:val="18"/>
          <w:lang w:eastAsia="it-IT"/>
        </w:rPr>
        <w:br/>
        <w:t xml:space="preserve">Si conferma che, così come previsto dal Bando di gara e dal Disciplinare di gara (art. 13.1.2), come requisito di capacita economico-finanziaria viene richiesto, in capo agli operatori economici concorrenti, il possesso di un fatturato </w:t>
      </w:r>
      <w:r w:rsidRPr="00CC77A5">
        <w:rPr>
          <w:rFonts w:ascii="Open Sans" w:eastAsia="Times New Roman" w:hAnsi="Open Sans" w:cs="Open Sans"/>
          <w:b/>
          <w:bCs/>
          <w:color w:val="5C5C5C"/>
          <w:sz w:val="18"/>
          <w:szCs w:val="18"/>
          <w:lang w:eastAsia="it-IT"/>
        </w:rPr>
        <w:t>specifico</w:t>
      </w:r>
      <w:r w:rsidRPr="00CC77A5">
        <w:rPr>
          <w:rFonts w:ascii="Open Sans" w:eastAsia="Times New Roman" w:hAnsi="Open Sans" w:cs="Open Sans"/>
          <w:color w:val="5C5C5C"/>
          <w:sz w:val="18"/>
          <w:szCs w:val="18"/>
          <w:lang w:eastAsia="it-IT"/>
        </w:rPr>
        <w:t xml:space="preserve"> d’impresa conseguito nel triennio antecedente alla data di pubblicazione del bando di gara per servizi analoghi a quelli oggetto della presente procedura di gara </w:t>
      </w:r>
      <w:r w:rsidRPr="00CC77A5">
        <w:rPr>
          <w:rFonts w:ascii="Open Sans" w:eastAsia="Times New Roman" w:hAnsi="Open Sans" w:cs="Open Sans"/>
          <w:b/>
          <w:bCs/>
          <w:color w:val="5C5C5C"/>
          <w:sz w:val="18"/>
          <w:szCs w:val="18"/>
          <w:lang w:eastAsia="it-IT"/>
        </w:rPr>
        <w:t>(servizi di vigilanza portuale o aeroportuale)</w:t>
      </w:r>
      <w:r w:rsidRPr="00CC77A5">
        <w:rPr>
          <w:rFonts w:ascii="Open Sans" w:eastAsia="Times New Roman" w:hAnsi="Open Sans" w:cs="Open Sans"/>
          <w:color w:val="5C5C5C"/>
          <w:sz w:val="18"/>
          <w:szCs w:val="18"/>
          <w:lang w:eastAsia="it-IT"/>
        </w:rPr>
        <w:t xml:space="preserve"> per un importo non inferiore all’importo annuo posto a base di gara. </w:t>
      </w:r>
      <w:r w:rsidRPr="00CC77A5">
        <w:rPr>
          <w:rFonts w:ascii="Open Sans" w:eastAsia="Times New Roman" w:hAnsi="Open Sans" w:cs="Open Sans"/>
          <w:color w:val="5C5C5C"/>
          <w:sz w:val="18"/>
          <w:szCs w:val="18"/>
          <w:lang w:eastAsia="it-IT"/>
        </w:rPr>
        <w:br/>
        <w:t xml:space="preserve">Di conseguenza </w:t>
      </w:r>
      <w:r w:rsidRPr="00CC77A5">
        <w:rPr>
          <w:rFonts w:ascii="Open Sans" w:eastAsia="Times New Roman" w:hAnsi="Open Sans" w:cs="Open Sans"/>
          <w:b/>
          <w:bCs/>
          <w:color w:val="5C5C5C"/>
          <w:sz w:val="18"/>
          <w:szCs w:val="18"/>
          <w:lang w:eastAsia="it-IT"/>
        </w:rPr>
        <w:t>non</w:t>
      </w:r>
      <w:r w:rsidRPr="00CC77A5">
        <w:rPr>
          <w:rFonts w:ascii="Open Sans" w:eastAsia="Times New Roman" w:hAnsi="Open Sans" w:cs="Open Sans"/>
          <w:color w:val="5C5C5C"/>
          <w:sz w:val="18"/>
          <w:szCs w:val="18"/>
          <w:lang w:eastAsia="it-IT"/>
        </w:rPr>
        <w:t xml:space="preserve"> possono ritenersi utili, ai fini della partecipazione alla presente procedura l’esecuzione di servizi di vigilanza armata con piantonamento genericamente intesi a favore di committenti diversi. Come chiarito dal successivo articolo 13.3. del disciplinare di gara </w:t>
      </w:r>
      <w:r w:rsidRPr="00CC77A5">
        <w:rPr>
          <w:rFonts w:ascii="Open Sans" w:eastAsia="Times New Roman" w:hAnsi="Open Sans" w:cs="Open Sans"/>
          <w:i/>
          <w:iCs/>
          <w:color w:val="5C5C5C"/>
          <w:sz w:val="18"/>
          <w:szCs w:val="18"/>
          <w:lang w:eastAsia="it-IT"/>
        </w:rPr>
        <w:t>“Il requisito relativo al fatturato specifico di cui al precedente paragrafo 13.1.2) deve essere soddisfatto dal raggruppamento temporaneo, dal consorzio, GEIE o dalle imprese aderenti al contratto di rete nel suo complesso. Detto requisito deve essere posseduto in misura maggioritaria dall’impresa mandataria”.</w:t>
      </w:r>
    </w:p>
    <w:p w:rsidR="00CC658B" w:rsidRDefault="00CC658B" w:rsidP="00CC77A5">
      <w:pPr>
        <w:shd w:val="clear" w:color="auto" w:fill="FFFFFF"/>
        <w:spacing w:after="480" w:line="408" w:lineRule="atLeast"/>
        <w:ind w:left="450"/>
        <w:jc w:val="both"/>
      </w:pPr>
    </w:p>
    <w:sectPr w:rsidR="00CC65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22AE8"/>
    <w:multiLevelType w:val="multilevel"/>
    <w:tmpl w:val="632049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5C476A"/>
    <w:multiLevelType w:val="multilevel"/>
    <w:tmpl w:val="C0AAF4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drawingGridHorizontalSpacing w:val="181"/>
  <w:drawingGridVerticalSpacing w:val="181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E29"/>
    <w:rsid w:val="00CC658B"/>
    <w:rsid w:val="00CC77A5"/>
    <w:rsid w:val="00D3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D30E29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D30E29"/>
    <w:pPr>
      <w:spacing w:after="48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CC77A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D30E29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D30E29"/>
    <w:pPr>
      <w:spacing w:after="48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CC77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4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4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3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4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9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43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9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2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2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7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98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08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Cassarani</dc:creator>
  <cp:lastModifiedBy>Roberto Cassarani</cp:lastModifiedBy>
  <cp:revision>2</cp:revision>
  <dcterms:created xsi:type="dcterms:W3CDTF">2016-05-05T13:41:00Z</dcterms:created>
  <dcterms:modified xsi:type="dcterms:W3CDTF">2016-05-05T13:41:00Z</dcterms:modified>
</cp:coreProperties>
</file>